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22" w:color="FFA300"/>
          <w:left w:val="nil"/>
          <w:bottom w:val="nil"/>
          <w:right w:val="nil"/>
          <w:insideH w:val="nil"/>
          <w:insideV w:val="nil"/>
        </w:tblBorders>
      </w:tblPr>
      <w:tblGrid>
        <w:gridCol w:w="7030"/>
        <w:gridCol w:w="3175"/>
      </w:tblGrid>
      <w:tr>
        <w:trPr>
          <w:cantSplit/>
        </w:trPr>
        <w:tc>
          <w:tcPr>
            <w:tcW w:type="dxa" w:w="7030"/>
            <w:vAlign w:val="top"/>
            <w:tcMar>
              <w:top w:w="160" w:type="dxa"/>
              <w:left w:w="160" w:type="dxa"/>
              <w:bottom w:w="160" w:type="dxa"/>
              <w:right w:w="160" w:type="dxa"/>
            </w:tcMar>
            <w:shd w:fill="202020"/>
          </w:tcPr>
          <w:p>
            <w:pPr>
              <w:spacing w:after="16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FFA300"/>
                <w:sz w:val="15"/>
              </w:rPr>
              <w:t>IEEE BAU COMPUTER SOCIETY</w:t>
            </w:r>
          </w:p>
          <w:p>
            <w:pPr>
              <w:spacing w:after="80" w:before="0" w:line="240" w:lineRule="auto"/>
            </w:pPr>
            <w:r>
              <w:rPr>
                <w:rFonts w:ascii="Montserrat" w:hAnsi="Montserrat"/>
                <w:b/>
                <w:color w:val="FFFFFF"/>
                <w:sz w:val="78"/>
              </w:rPr>
              <w:t>CIPHER</w:t>
            </w:r>
          </w:p>
        </w:tc>
        <w:tc>
          <w:tcPr>
            <w:tcW w:type="dxa" w:w="3175"/>
            <w:vAlign w:val="center"/>
            <w:tcMar>
              <w:top w:w="220" w:type="dxa"/>
              <w:left w:w="220" w:type="dxa"/>
              <w:bottom w:w="220" w:type="dxa"/>
              <w:right w:w="220" w:type="dxa"/>
            </w:tcMar>
            <w:shd w:fill="FFFFFF"/>
          </w:tcPr>
          <w:p>
            <w:pPr>
              <w:spacing w:after="240" w:line="240" w:lineRule="auto"/>
              <w:jc w:val="center"/>
            </w:pPr>
            <w:r>
              <w:rPr>
                <w:sz w:val="2"/>
              </w:rPr>
            </w:r>
            <w:r>
              <w:drawing>
                <wp:inline xmlns:a="http://schemas.openxmlformats.org/drawingml/2006/main" xmlns:pic="http://schemas.openxmlformats.org/drawingml/2006/picture">
                  <wp:extent cx="1422000" cy="436264"/>
                  <wp:docPr id="1" name="Picture 1" descr="IEEE Computer Society logo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eee-computer-society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000" cy="43626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before="0" w:line="271" w:lineRule="auto"/>
              <w:jc w:val="center"/>
            </w:pPr>
            <w:r>
              <w:rPr>
                <w:rFonts w:ascii="Open Sans" w:hAnsi="Open Sans"/>
                <w:b w:val="0"/>
                <w:color w:val="4A4A4A"/>
                <w:sz w:val="15"/>
              </w:rPr>
              <w:t>TECHNICAL SHEET / 2026</w:t>
            </w:r>
          </w:p>
        </w:tc>
      </w:tr>
      <w:tr>
        <w:tc>
          <w:tcPr>
            <w:tcW w:type="dxa" w:w="10205"/>
            <w:gridSpan w:val="2"/>
            <w:vAlign w:val="top"/>
            <w:tcMar>
              <w:top w:w="100" w:type="dxa"/>
              <w:left w:w="100" w:type="dxa"/>
              <w:bottom w:w="100" w:type="dxa"/>
              <w:right w:w="100" w:type="dxa"/>
            </w:tcMar>
            <w:shd w:fill="202020"/>
          </w:tcPr>
          <w:p>
            <w:pPr>
              <w:spacing w:after="4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 w:val="0"/>
                <w:color w:val="FFFFFF"/>
                <w:sz w:val="32"/>
              </w:rPr>
              <w:t>Network detection and response</w:t>
            </w:r>
          </w:p>
        </w:tc>
      </w:tr>
    </w:tbl>
    <w:p>
      <w:pPr>
        <w:spacing w:after="280" w:before="200" w:line="283" w:lineRule="auto"/>
      </w:pPr>
      <w:r>
        <w:rPr>
          <w:rFonts w:ascii="Open Sans" w:hAnsi="Open Sans"/>
          <w:b w:val="0"/>
          <w:color w:val="171717"/>
          <w:sz w:val="22"/>
        </w:rPr>
        <w:t>A security prototype for small offices, shops, and schools. CIPHER learns each device’s normal traffic pattern, flags unusual behavior, and explains the evidence so an operator can choose a response.</w:t>
      </w:r>
    </w:p>
    <w:p>
      <w:pPr>
        <w:spacing w:after="140" w:before="0" w:line="271" w:lineRule="auto"/>
      </w:pPr>
      <w:r>
        <w:rPr>
          <w:rFonts w:ascii="Montserrat" w:hAnsi="Montserrat"/>
          <w:b/>
          <w:color w:val="171717"/>
          <w:sz w:val="17"/>
        </w:rPr>
        <w:t>FROM NETWORK TRAFFIC TO OPERATOR ACTION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339"/>
        <w:gridCol w:w="283"/>
        <w:gridCol w:w="2339"/>
        <w:gridCol w:w="283"/>
        <w:gridCol w:w="2339"/>
        <w:gridCol w:w="283"/>
        <w:gridCol w:w="2339"/>
      </w:tblGrid>
      <w:tr>
        <w:trPr>
          <w:cantSplit/>
        </w:trPr>
        <w:tc>
          <w:tcPr>
            <w:tcW w:type="dxa" w:w="2339"/>
            <w:vAlign w:val="top"/>
            <w:tcMar>
              <w:top w:w="100" w:type="dxa"/>
              <w:left w:w="100" w:type="dxa"/>
              <w:bottom w:w="100" w:type="dxa"/>
              <w:right w:w="100" w:type="dxa"/>
            </w:tcMar>
            <w:shd w:fill="FFF5E3"/>
          </w:tcPr>
          <w:p>
            <w:pPr>
              <w:spacing w:after="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14"/>
              </w:rPr>
              <w:t>01  OBSERVE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>Linux router</w:t>
            </w:r>
          </w:p>
          <w:p>
            <w:pPr>
              <w:spacing w:after="4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8"/>
              </w:rPr>
              <w:t>eBPF / XDP</w:t>
              <w:br/>
              <w:t>Traffic hook</w:t>
            </w:r>
          </w:p>
        </w:tc>
        <w:tc>
          <w:tcPr>
            <w:tcW w:type="dxa" w:w="283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71" w:lineRule="auto" w:before="0"/>
              <w:jc w:val="center"/>
            </w:pPr>
            <w:r>
              <w:rPr>
                <w:sz w:val="2"/>
              </w:rPr>
            </w:r>
            <w:r>
              <w:rPr>
                <w:rFonts w:ascii="Open Sans" w:hAnsi="Open Sans"/>
                <w:b w:val="0"/>
                <w:color w:val="00629B"/>
                <w:sz w:val="18"/>
              </w:rPr>
              <w:t>→</w:t>
            </w:r>
          </w:p>
        </w:tc>
        <w:tc>
          <w:tcPr>
            <w:tcW w:type="dxa" w:w="2339"/>
            <w:vAlign w:val="top"/>
            <w:tcMar>
              <w:top w:w="100" w:type="dxa"/>
              <w:left w:w="100" w:type="dxa"/>
              <w:bottom w:w="100" w:type="dxa"/>
              <w:right w:w="100" w:type="dxa"/>
            </w:tcMar>
            <w:shd w:fill="FFF5E3"/>
          </w:tcPr>
          <w:p>
            <w:pPr>
              <w:spacing w:after="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14"/>
              </w:rPr>
              <w:t>02  SUMMARIZE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>Rust sensor</w:t>
            </w:r>
          </w:p>
          <w:p>
            <w:pPr>
              <w:spacing w:after="4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8"/>
              </w:rPr>
              <w:t>Sampled traffic</w:t>
              <w:br/>
              <w:t>metadata</w:t>
            </w:r>
          </w:p>
        </w:tc>
        <w:tc>
          <w:tcPr>
            <w:tcW w:type="dxa" w:w="283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71" w:lineRule="auto" w:before="0"/>
              <w:jc w:val="center"/>
            </w:pPr>
            <w:r>
              <w:rPr>
                <w:sz w:val="2"/>
              </w:rPr>
            </w:r>
            <w:r>
              <w:rPr>
                <w:rFonts w:ascii="Open Sans" w:hAnsi="Open Sans"/>
                <w:b w:val="0"/>
                <w:color w:val="00629B"/>
                <w:sz w:val="18"/>
              </w:rPr>
              <w:t>→</w:t>
            </w:r>
          </w:p>
        </w:tc>
        <w:tc>
          <w:tcPr>
            <w:tcW w:type="dxa" w:w="2339"/>
            <w:vAlign w:val="top"/>
            <w:tcMar>
              <w:top w:w="100" w:type="dxa"/>
              <w:left w:w="100" w:type="dxa"/>
              <w:bottom w:w="100" w:type="dxa"/>
              <w:right w:w="100" w:type="dxa"/>
            </w:tcMar>
            <w:shd w:fill="FFF5E3"/>
          </w:tcPr>
          <w:p>
            <w:pPr>
              <w:spacing w:after="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14"/>
              </w:rPr>
              <w:t>03  ANALYZE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>Rust server</w:t>
            </w:r>
          </w:p>
          <w:p>
            <w:pPr>
              <w:spacing w:after="4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8"/>
              </w:rPr>
              <w:t>Statistics +</w:t>
              <w:br/>
              <w:t>AI review</w:t>
            </w:r>
          </w:p>
        </w:tc>
        <w:tc>
          <w:tcPr>
            <w:tcW w:type="dxa" w:w="283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71" w:lineRule="auto" w:before="0"/>
              <w:jc w:val="center"/>
            </w:pPr>
            <w:r>
              <w:rPr>
                <w:sz w:val="2"/>
              </w:rPr>
            </w:r>
            <w:r>
              <w:rPr>
                <w:rFonts w:ascii="Open Sans" w:hAnsi="Open Sans"/>
                <w:b w:val="0"/>
                <w:color w:val="00629B"/>
                <w:sz w:val="18"/>
              </w:rPr>
              <w:t>→</w:t>
            </w:r>
          </w:p>
        </w:tc>
        <w:tc>
          <w:tcPr>
            <w:tcW w:type="dxa" w:w="2339"/>
            <w:vAlign w:val="top"/>
            <w:tcMar>
              <w:top w:w="100" w:type="dxa"/>
              <w:left w:w="100" w:type="dxa"/>
              <w:bottom w:w="100" w:type="dxa"/>
              <w:right w:w="100" w:type="dxa"/>
            </w:tcMar>
            <w:shd w:fill="FFF5E3"/>
          </w:tcPr>
          <w:p>
            <w:pPr>
              <w:spacing w:after="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14"/>
              </w:rPr>
              <w:t>04  RESPOND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>Web dashboard</w:t>
            </w:r>
          </w:p>
          <w:p>
            <w:pPr>
              <w:spacing w:after="4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8"/>
              </w:rPr>
              <w:t>Review +</w:t>
              <w:br/>
              <w:t>device control</w:t>
            </w:r>
          </w:p>
        </w:tc>
      </w:tr>
    </w:tbl>
    <w:p>
      <w:pPr>
        <w:spacing w:after="260" w:before="100" w:line="271" w:lineRule="auto"/>
      </w:pPr>
      <w:r>
        <w:rPr>
          <w:rFonts w:ascii="Open Sans" w:hAnsi="Open Sans"/>
          <w:b w:val="0"/>
          <w:color w:val="4A4A4A"/>
          <w:sz w:val="16"/>
        </w:rPr>
        <w:t>FlatBuffers reports over a TLS WebSocket · Axum server · SQLite persistence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4819"/>
        <w:gridCol w:w="567"/>
        <w:gridCol w:w="4819"/>
      </w:tblGrid>
      <w:tr>
        <w:trPr>
          <w:cantSplit/>
        </w:trPr>
        <w:tc>
          <w:tcPr>
            <w:tcW w:type="dxa" w:w="4819"/>
            <w:vAlign w:val="top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26"/>
              </w:rPr>
              <w:t>How detection works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>50 reports per device</w:t>
            </w:r>
            <w:r>
              <w:rPr>
                <w:b w:val="0"/>
                <w:sz w:val="20"/>
              </w:rPr>
              <w:t xml:space="preserve"> establish a baseline of normal activity.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 xml:space="preserve">Four signals: </w:t>
            </w:r>
            <w:r>
              <w:rPr>
                <w:b w:val="0"/>
                <w:sz w:val="20"/>
              </w:rPr>
              <w:t>incoming bytes, outgoing bytes, dropped events, and port entropy (how varied port use is).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 xml:space="preserve">Statistics flag the change. </w:t>
            </w:r>
            <w:r>
              <w:rPr>
                <w:b w:val="0"/>
                <w:sz w:val="20"/>
              </w:rPr>
              <w:t>An optional AI reviewer explains the evidence and recommends a response.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</w:r>
            <w:r>
              <w:rPr>
                <w:b w:val="0"/>
                <w:sz w:val="20"/>
              </w:rPr>
              <w:t>Measurements are sampled observations. An anomaly is a reason to investigate, not proof of an attack.</w:t>
            </w:r>
          </w:p>
        </w:tc>
        <w:tc>
          <w:tcPr>
            <w:tcW w:type="dxa" w:w="567"/>
          </w:tcPr>
          <w:p/>
        </w:tc>
        <w:tc>
          <w:tcPr>
            <w:tcW w:type="dxa" w:w="4819"/>
            <w:vAlign w:val="top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8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26"/>
              </w:rPr>
              <w:t>Operator control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 xml:space="preserve">Monitor and alert is the default. </w:t>
            </w:r>
            <w:r>
              <w:rPr>
                <w:b w:val="0"/>
                <w:sz w:val="20"/>
              </w:rPr>
              <w:t>Operators can trust devices, review incidents, and manually isolate or restore a device.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  <w:t xml:space="preserve">Cloud auto-isolation </w:t>
            </w:r>
            <w:r>
              <w:rPr>
                <w:b w:val="0"/>
                <w:sz w:val="20"/>
              </w:rPr>
              <w:t>requires enforcement mode, an untrusted device, at least two abnormal signals, and a valid block recommendation scored at least 85/100. The incident must remain open and policy unchanged.</w:t>
            </w:r>
          </w:p>
          <w:p>
            <w:pPr>
              <w:spacing w:after="140" w:before="0" w:line="271" w:lineRule="auto"/>
            </w:pPr>
            <w:r>
              <w:rPr>
                <w:rFonts w:ascii="Open Sans" w:hAnsi="Open Sans"/>
                <w:b/>
                <w:color w:val="171717"/>
                <w:sz w:val="20"/>
              </w:rPr>
            </w:r>
            <w:r>
              <w:rPr>
                <w:b w:val="0"/>
                <w:sz w:val="20"/>
              </w:rPr>
              <w:t>The score is the model’s own assessment, not a measured probability.</w:t>
            </w:r>
          </w:p>
        </w:tc>
      </w:tr>
    </w:tbl>
    <w:p>
      <w:pPr>
        <w:spacing w:after="200" w:before="0" w:line="271" w:lineRule="auto"/>
      </w:pPr>
      <w:r>
        <w:rPr>
          <w:rFonts w:ascii="Open Sans" w:hAnsi="Open Sans"/>
          <w:b w:val="0"/>
          <w:color w:val="4A4A4A"/>
          <w:sz w:val="17"/>
        </w:rPr>
        <w:t>Local edge rules are separate. Monitor mode does not disable packet filters or clear existing blocks.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205"/>
      </w:tblGrid>
      <w:tr>
        <w:trPr>
          <w:cantSplit/>
        </w:trPr>
        <w:tc>
          <w:tcPr>
            <w:tcW w:type="dxa" w:w="10205"/>
            <w:vAlign w:val="top"/>
            <w:tcMar>
              <w:top w:w="130" w:type="dxa"/>
              <w:left w:w="130" w:type="dxa"/>
              <w:bottom w:w="130" w:type="dxa"/>
              <w:right w:w="130" w:type="dxa"/>
            </w:tcMar>
            <w:shd w:fill="FFF5E3"/>
          </w:tcPr>
          <w:p>
            <w:pPr>
              <w:spacing w:after="100" w:line="271" w:lineRule="auto" w:before="0"/>
            </w:pPr>
            <w:r>
              <w:rPr>
                <w:sz w:val="2"/>
              </w:rPr>
            </w:r>
            <w:r>
              <w:rPr>
                <w:rFonts w:ascii="Montserrat" w:hAnsi="Montserrat"/>
                <w:b/>
                <w:color w:val="171717"/>
                <w:sz w:val="17"/>
              </w:rPr>
              <w:t>PROTOTYPE AND DEMO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18"/>
              </w:rPr>
              <w:t xml:space="preserve">Working software: </w:t>
            </w:r>
            <w:r>
              <w:rPr>
                <w:b w:val="0"/>
                <w:sz w:val="18"/>
              </w:rPr>
              <w:t>detection, incident review, saved baselines, trust controls, acknowledgments, and retries.</w:t>
            </w:r>
          </w:p>
          <w:p>
            <w:pPr>
              <w:spacing w:after="80" w:before="0" w:line="271" w:lineRule="auto"/>
            </w:pPr>
            <w:r>
              <w:rPr>
                <w:rFonts w:ascii="Open Sans" w:hAnsi="Open Sans"/>
                <w:b/>
                <w:color w:val="171717"/>
                <w:sz w:val="18"/>
              </w:rPr>
              <w:t xml:space="preserve">Booth demo: </w:t>
            </w:r>
            <w:r>
              <w:rPr>
                <w:b w:val="0"/>
                <w:sz w:val="18"/>
              </w:rPr>
              <w:t>simulated sensor and scripted reviewer with the real backend; no live packet blocking. Hardware enforcement and detection accuracy still need validation.</w:t>
            </w:r>
          </w:p>
        </w:tc>
      </w:tr>
    </w:tbl>
    <w:p>
      <w:pPr>
        <w:spacing w:after="80" w:before="0" w:line="240" w:lineRule="auto"/>
      </w:pPr>
      <w:r>
        <w:rPr>
          <w:rFonts w:ascii="Open Sans" w:hAnsi="Open Sans"/>
          <w:b w:val="0"/>
          <w:color w:val="171717"/>
          <w:sz w:val="2"/>
        </w:rPr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304"/>
        <w:gridCol w:w="6123"/>
        <w:gridCol w:w="454"/>
        <w:gridCol w:w="2324"/>
      </w:tblGrid>
      <w:tr>
        <w:trPr>
          <w:cantSplit/>
        </w:trPr>
        <w:tc>
          <w:tcPr>
            <w:tcW w:type="dxa" w:w="1304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</w:pPr>
            <w:r>
              <w:rPr>
                <w:sz w:val="2"/>
              </w:rPr>
            </w:r>
            <w:r>
              <w:drawing>
                <wp:inline xmlns:a="http://schemas.openxmlformats.org/drawingml/2006/main" xmlns:pic="http://schemas.openxmlformats.org/drawingml/2006/picture">
                  <wp:extent cx="720000" cy="720000"/>
                  <wp:docPr id="2" name="Picture 2" descr="QR code linking to the CIPHER project websit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roject-qr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123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80" w:line="271" w:lineRule="auto" w:before="0"/>
            </w:pPr>
            <w:r>
              <w:rPr>
                <w:sz w:val="2"/>
              </w:rPr>
            </w:r>
            <w:r>
              <w:rPr>
                <w:rFonts w:ascii="Open Sans" w:hAnsi="Open Sans"/>
                <w:b/>
                <w:color w:val="171717"/>
                <w:sz w:val="18"/>
              </w:rPr>
              <w:t>The Four Horsemen · @ieee_bau_cs</w:t>
            </w:r>
          </w:p>
          <w:p>
            <w:pPr>
              <w:spacing w:after="2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6"/>
              </w:rPr>
              <w:t>Zakaria Alqarra · Belal Hamdan</w:t>
            </w:r>
          </w:p>
          <w:p>
            <w:pPr>
              <w:spacing w:after="2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6"/>
              </w:rPr>
              <w:t>Raneem Abdullah · Ayham Idais</w:t>
            </w:r>
          </w:p>
          <w:p>
            <w:pPr>
              <w:spacing w:after="40" w:before="0" w:line="271" w:lineRule="auto"/>
            </w:pPr>
            <w:r>
              <w:rPr>
                <w:rFonts w:ascii="Open Sans" w:hAnsi="Open Sans"/>
                <w:b w:val="0"/>
                <w:color w:val="4A4A4A"/>
                <w:sz w:val="16"/>
              </w:rPr>
              <w:t>Contributor: Omar Eid</w:t>
            </w:r>
          </w:p>
          <w:p>
            <w:pPr>
              <w:spacing w:after="0" w:before="0" w:line="271" w:lineRule="auto"/>
            </w:pPr>
            <w:r>
              <w:rPr>
                <w:rFonts w:ascii="Open Sans" w:hAnsi="Open Sans"/>
                <w:b w:val="0"/>
                <w:color w:val="171717"/>
                <w:sz w:val="17"/>
              </w:rPr>
            </w:r>
            <w:hyperlink r:id="rId11">
              <w:r>
                <w:rPr>
                  <w:color w:val="00629B"/>
                  <w:sz w:val="17"/>
                </w:rPr>
                <w:t>belalhamdan.com/cipher/</w:t>
              </w:r>
            </w:hyperlink>
          </w:p>
        </w:tc>
        <w:tc>
          <w:tcPr>
            <w:tcW w:type="dxa" w:w="454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0" w:lineRule="exact"/>
            </w:pPr>
            <w:r>
              <w:rPr>
                <w:sz w:val="2"/>
              </w:rPr>
            </w:r>
          </w:p>
        </w:tc>
        <w:tc>
          <w:tcPr>
            <w:tcW w:type="dxa" w:w="2324"/>
            <w:vAlign w:val="cente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</w:pPr>
            <w:r>
              <w:rPr>
                <w:sz w:val="2"/>
              </w:rPr>
            </w:r>
            <w:r>
              <w:drawing>
                <wp:inline xmlns:a="http://schemas.openxmlformats.org/drawingml/2006/main" xmlns:pic="http://schemas.openxmlformats.org/drawingml/2006/picture">
                  <wp:extent cx="1440000" cy="702752"/>
                  <wp:docPr id="3" name="Picture 3" descr="IEEE Al-Balqa Applied University, Faculty of Engineering Technology branch logo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eee-bau-branch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027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FC693F" w:rsidRPr="0006063C" w:rsidSect="00034616">
      <w:pgSz w:w="11906" w:h="16838"/>
      <w:pgMar w:top="794" w:right="850" w:bottom="680" w:left="850" w:header="283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line="271" w:lineRule="auto" w:after="120"/>
    </w:pPr>
    <w:rPr>
      <w:rFonts w:ascii="Open Sans" w:hAnsi="Open Sans"/>
      <w:color w:val="171717"/>
      <w:sz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ontserrat" w:hAnsi="Montserrat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ontserrat" w:hAnsi="Montserrat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ontserrat" w:hAnsi="Montserrat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ontserrat" w:hAnsi="Montserrat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hyperlink" Target="https://belalhamdan.com/cipher/" TargetMode="External"/><Relationship Id="rId1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CIPHER | Network detection and response</dc:title>
  <dc:subject>One-page project technical sheet. Contributor: Omar Eid.</dc:subject>
  <dc:creator>Zakaria Alqarra; Belal Hamdan; Raneem Abdullah; Ayham Idais (The Four Horsemen)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